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1D" w:rsidRDefault="002F2EC6" w:rsidP="007B4074">
      <w:pPr>
        <w:spacing w:after="0"/>
        <w:jc w:val="center"/>
        <w:rPr>
          <w:rFonts w:ascii="Times New Roman" w:hAnsi="Times New Roman" w:cs="Times New Roman"/>
          <w:b/>
          <w:sz w:val="28"/>
          <w:szCs w:val="28"/>
        </w:rPr>
      </w:pPr>
      <w:bookmarkStart w:id="0" w:name="_GoBack"/>
      <w:bookmarkEnd w:id="0"/>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a3"/>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02/04/11-21/00122352</w:t>
                  </w:r>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11.11.2021</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01.12.2021</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промышленности и торговли Российской Федерации  (Минпромторг России) Федеральная служба по надзору в сфере защиты прав потребителей и благополучия человека (Роспотребнадзор) Министерство транспорта Российской Федерации (Минтранс России) Министерство Российской Федерации по делам гражданской обороны, чрезвычайным ситуациям и ликвидации последствий стихийных бедствий (МЧС России) Министерство экономического развития Российской Федерации (Минэкономразвития России) Федеральная служба по экологическому, технологическому и атомному надзору (Ростехнадзор) Министерство юстиции Российской Федерации (Минюст России), Федеральное агентство по техническому регулированию и метрологии (Росстандарт)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Градостроительный кодекс Российской Федерации в части формирования реестра документов в области инженерных изысканий, проектирования, строительства, реконструкции, эксплуатации и сноса»</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разработан в целях реализации «одноканальной» процедуры выпуска нормативно-технических документов, исключающей дублирования и противоречия требований нормативной базы.</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Проект федерального закона разработан во исполнение пункта 26 Плана мероприятий («дорожной карты») по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w:t>
            </w:r>
            <w:r w:rsidRPr="00253EAD">
              <w:rPr>
                <w:rFonts w:ascii="Times New Roman" w:hAnsi="Times New Roman" w:cs="Times New Roman"/>
                <w:sz w:val="28"/>
                <w:szCs w:val="28"/>
              </w:rPr>
              <w:lastRenderedPageBreak/>
              <w:t>(«Реинжиниринг правил промышленного строительства»), утвержденного распоряжением Правительства Российской Федерации от 27 сентября 2021 г. № 2692-р.</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совершенствование работы по техническому регулированию в строительной сфере, обеспечение непротиворечивости и согласованности применяемых в строительстве документов различных федеральных органов исполнительной власти.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Исключение объектов капитального строительства из-под применения требований нормативных правовых актов и документов в области стандартизации, не включенных в реестр документов в области инженерных изысканий, проектирования, строительства, реконструкции, эксплуатации и сноса, при осуществлении экспертизы проектной документации.</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Сигитова Мария Сергеевна</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Главный специалист-эксперт Департамента градостроительной деятельности и архитектуры Отдела нормативно-технического регулирования</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495-647-15-80 доб. 56017</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Mariya.Sigitova@minstroyrf.gov.ru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акта содержит положения, изменяющие ранее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и (или)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Статьей 57.4 Градостроительного кодекса Российской Федерации предусмотрено, что реестр документов в области инженерных изысканий, проектирования, строительства, реконструкции, эксплуатации и сноса (далее – Реестр) является государственным информационным ресурсом, предназначенным для обеспечения заинтересованных лиц информацией о требованиях, подлежащих применению при проведении экспертизы проектной документации и (или) результатов инженерных изысканий, осуществлении архитектурно-строительного проектирования, строительства, реконструкции, эксплуатации и сноса объектов капитального строительства. Согласно пункту 6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утвержденных постановлением Правительства Российской Федерации от 12.09.2020 № 1417, документы, утвержденные федеральными органами исполнительной власти, указанными в части 5 статьи 57.4 Градостроительного кодекса Российской Федерации, должны быть направлены этими федеральными органами исполнительной власти (обладателями информации) в адрес Минстроя России для включения в Реестр. Отсутствие в Реестре документов, содержащих требования, применяемые при проведении экспертизы проектной документации, и утвержденных федеральными органами исполнительной власти, не исключает необходимости применения требований указанных документов.</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В настоящее время документы с обязательными требованиями, которые нужны и при прохождении экспертизы, и при осуществлении государственного строительного надзора, разрабатывают и утверждают 7 федеральных органов власти, а документы по стандартизации в отрасли – свыше 20 технических комитетов. Количество документов, которые необходимо применять при проектировании и строительстве объектов капитального строительства, составляет несколько тысяч единиц (точное количество установить не удалось), при этом текст документов находится на разных информационных ресурсах, отследить актуальную редакцию (а зачастую просто найти документ) не представляется возможным. Необходимо отметить, что процедуры согласования проектов документов установлены различными нормативно-правовыми актами (постановления Правительства Российской Федерации № 1009, № 624, приказ Росстандарта № 601), а </w:t>
            </w:r>
            <w:r w:rsidRPr="00253EAD">
              <w:rPr>
                <w:rFonts w:ascii="Times New Roman" w:hAnsi="Times New Roman" w:cs="Times New Roman"/>
                <w:sz w:val="28"/>
                <w:szCs w:val="28"/>
              </w:rPr>
              <w:lastRenderedPageBreak/>
              <w:t>процедура устранения коллизий нигде не установлена. Наличие дублирующих друг друга и противоречащих друг другу документов существенно затрудняет работу проектировщиков и контролирующих органов, негативно сказывается на процессе ценообразования.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lastRenderedPageBreak/>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придание Реестру документов статуса «отсекающего» позволит исключить избыточные требования в строительстве, позволит сделать процедуру проведения экспертизы проектной документации более прозрачной, будет способствовать совершенствованию работы по техническому регулированию в строительной сфере, повысит эффективность системы строительного нормирования в решении задач обеспечения безопасности зданий и сооружений в соответствии с требованиями технических регламентов, обеспечит непротиворечивость и согласованность применяемых в строительстве документов различных федеральных органов исполнительной власти, минимизирует рисков для субъектов инвестиционной деятельности и, за счет установления правил устранения противоречий в документах, – предотвратит связанные с такими противоречиями негативные социальные или экономические последствия.</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Проблема не может быть решена без внесения изменений в законодательство</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Федеральный закон от 30.12.2009 № 384-ФЗ «Технический регламент о безопасности зданий и сооружений», Градостроительный кодекс Российской Федерации</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473026" w:rsidRPr="00016EE4" w:rsidRDefault="00473026"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473026" w:rsidRDefault="00473026"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Совершенствование работы по техническому регулированию в строительной сфере, обеспечение непротиворечивости и согласованности применяемых в строительстве документов различных федеральных органов исполнительной власти</w:t>
            </w:r>
          </w:p>
        </w:tc>
        <w:tc>
          <w:tcPr>
            <w:tcW w:w="2630" w:type="pct"/>
            <w:gridSpan w:val="2"/>
          </w:tcPr>
          <w:p w:rsidR="00253EAD" w:rsidRPr="001D3F35" w:rsidRDefault="00471D4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 момента вступления в законную силу</w:t>
            </w:r>
          </w:p>
        </w:tc>
      </w:tr>
      <w:tr w:rsidR="0089208D" w:rsidTr="00E57FA6">
        <w:tc>
          <w:tcPr>
            <w:tcW w:w="405" w:type="pct"/>
          </w:tcPr>
          <w:p w:rsidR="0089208D" w:rsidRDefault="00E31B2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Законопроект разработан во исполнение пункта 26 Плана мероприятий («дорожной карты») по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(«Реинжиниринг правил промышленного строительства»), утвержденного распоряжением Правительства Российской Федерации от 27 сентября 2021 г. № 2692-р.</w:t>
            </w:r>
          </w:p>
          <w:p w:rsidR="0089208D" w:rsidRDefault="0089208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253EAD" w:rsidRDefault="00253EA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Совершенствование технического регулирования в строительной сфере, обеспечение непротиворечивости и согласованности применяемых в строительстве требований.</w:t>
            </w:r>
          </w:p>
          <w:p w:rsidR="00860F03" w:rsidRPr="00016EE4" w:rsidRDefault="00860F03"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Принятие проекта федерального закона - это единственный способ решения проблемы</w:t>
            </w:r>
          </w:p>
          <w:p w:rsidR="00860F03" w:rsidRDefault="00860F03"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700A1D" w:rsidRDefault="00700A1D"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lastRenderedPageBreak/>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847"/>
        <w:gridCol w:w="4109"/>
        <w:gridCol w:w="851"/>
        <w:gridCol w:w="4649"/>
      </w:tblGrid>
      <w:tr w:rsidR="003467FE" w:rsidTr="00E57FA6">
        <w:trPr>
          <w:trHeight w:val="55"/>
        </w:trPr>
        <w:tc>
          <w:tcPr>
            <w:tcW w:w="405"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7B4074">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906A0A" w:rsidP="007B4074">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906A0A" w:rsidTr="00E57FA6">
        <w:trPr>
          <w:trHeight w:val="52"/>
        </w:trPr>
        <w:tc>
          <w:tcPr>
            <w:tcW w:w="237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субъекты отношений в сфере градостроительства (федеральные органы исполнительной власти; органы исполнительной власти субъектов Российской Федерации; органы местного самоуправления; физические и юридические лица )</w:t>
            </w:r>
          </w:p>
        </w:tc>
        <w:tc>
          <w:tcPr>
            <w:tcW w:w="2630" w:type="pct"/>
            <w:gridSpan w:val="2"/>
          </w:tcPr>
          <w:p w:rsidR="00906A0A" w:rsidRPr="00906A0A" w:rsidRDefault="00906A0A"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Не установлена</w:t>
            </w:r>
          </w:p>
        </w:tc>
      </w:tr>
      <w:tr w:rsidR="0083358C" w:rsidTr="00E57FA6">
        <w:trPr>
          <w:trHeight w:val="31"/>
        </w:trPr>
        <w:tc>
          <w:tcPr>
            <w:tcW w:w="5000" w:type="pct"/>
            <w:gridSpan w:val="4"/>
          </w:tcPr>
          <w:p w:rsidR="0083358C" w:rsidRPr="0083358C" w:rsidRDefault="0083358C" w:rsidP="007B4074">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1D2467" w:rsidTr="00E57FA6">
        <w:trPr>
          <w:trHeight w:val="31"/>
        </w:trPr>
        <w:tc>
          <w:tcPr>
            <w:tcW w:w="237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630" w:type="pct"/>
            <w:gridSpan w:val="2"/>
          </w:tcPr>
          <w:p w:rsidR="001D2467" w:rsidRPr="0083358C" w:rsidRDefault="001D2467" w:rsidP="00E43D67">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1D2467" w:rsidTr="00E57FA6">
        <w:tc>
          <w:tcPr>
            <w:tcW w:w="405" w:type="pct"/>
          </w:tcPr>
          <w:p w:rsidR="001D2467" w:rsidRDefault="000F7794" w:rsidP="007B4074">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1D2467" w:rsidRDefault="001D2467"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467996" w:rsidRDefault="00467996" w:rsidP="007B4074">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a3"/>
        <w:tblW w:w="5000" w:type="pct"/>
        <w:tblLook w:val="04A0" w:firstRow="1" w:lastRow="0" w:firstColumn="1" w:lastColumn="0" w:noHBand="0" w:noVBand="1"/>
      </w:tblPr>
      <w:tblGrid>
        <w:gridCol w:w="3580"/>
        <w:gridCol w:w="3440"/>
        <w:gridCol w:w="3436"/>
      </w:tblGrid>
      <w:tr w:rsidR="00B94357" w:rsidTr="00B94357">
        <w:tc>
          <w:tcPr>
            <w:tcW w:w="1712"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ab"/>
                <w:rFonts w:ascii="Times New Roman" w:hAnsi="Times New Roman" w:cs="Times New Roman"/>
                <w:sz w:val="28"/>
                <w:szCs w:val="28"/>
              </w:rPr>
              <w:footnoteReference w:id="2"/>
            </w:r>
          </w:p>
        </w:tc>
        <w:tc>
          <w:tcPr>
            <w:tcW w:w="1645"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643" w:type="pct"/>
          </w:tcPr>
          <w:p w:rsidR="00B94357" w:rsidRPr="00770DF5" w:rsidRDefault="00B94357" w:rsidP="00B94357">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B94357" w:rsidRDefault="00B94357" w:rsidP="00B94357">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bl>
    <w:p w:rsidR="00B94357" w:rsidRPr="007E6894" w:rsidRDefault="00B94357" w:rsidP="00872FD1">
      <w:pPr>
        <w:spacing w:after="0"/>
        <w:rPr>
          <w:rFonts w:ascii="Times New Roman" w:eastAsia="Times New Roman" w:hAnsi="Times New Roman" w:cs="Times New Roman"/>
          <w:b/>
          <w:sz w:val="2"/>
          <w:szCs w:val="2"/>
          <w:lang w:eastAsia="ru-RU"/>
        </w:rPr>
      </w:pPr>
    </w:p>
    <w:tbl>
      <w:tblPr>
        <w:tblStyle w:val="a3"/>
        <w:tblW w:w="5000" w:type="pct"/>
        <w:tblCellMar>
          <w:left w:w="0" w:type="dxa"/>
          <w:right w:w="0" w:type="dxa"/>
        </w:tblCellMar>
        <w:tblLook w:val="04A0" w:firstRow="1" w:lastRow="0" w:firstColumn="1" w:lastColumn="0" w:noHBand="0" w:noVBand="1"/>
      </w:tblPr>
      <w:tblGrid>
        <w:gridCol w:w="1100"/>
        <w:gridCol w:w="2505"/>
        <w:gridCol w:w="6851"/>
      </w:tblGrid>
      <w:tr w:rsidR="00B94357" w:rsidTr="007046F4">
        <w:tc>
          <w:tcPr>
            <w:tcW w:w="526" w:type="pct"/>
          </w:tcPr>
          <w:p w:rsidR="00B94357" w:rsidRPr="00FB5B21" w:rsidRDefault="00B94357" w:rsidP="00B9435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9.4.</w:t>
            </w:r>
          </w:p>
        </w:tc>
        <w:tc>
          <w:tcPr>
            <w:tcW w:w="1198" w:type="pct"/>
          </w:tcPr>
          <w:p w:rsidR="00B94357" w:rsidRPr="001C482E" w:rsidRDefault="00B94357" w:rsidP="00B94357">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ab"/>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3275" w:type="pct"/>
          </w:tcPr>
          <w:p w:rsidR="00B94357" w:rsidRPr="001C1530" w:rsidRDefault="00B94357"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1F4DB9" w:rsidTr="00CD490F">
        <w:tc>
          <w:tcPr>
            <w:tcW w:w="5000" w:type="pct"/>
            <w:gridSpan w:val="3"/>
            <w:tcMar>
              <w:left w:w="0" w:type="dxa"/>
              <w:right w:w="0" w:type="dxa"/>
            </w:tcMar>
          </w:tcPr>
          <w:tbl>
            <w:tblPr>
              <w:tblStyle w:val="a3"/>
              <w:tblW w:w="5000" w:type="pct"/>
              <w:tblCellMar>
                <w:left w:w="0" w:type="dxa"/>
                <w:right w:w="0" w:type="dxa"/>
              </w:tblCellMar>
              <w:tblLook w:val="04A0" w:firstRow="1" w:lastRow="0" w:firstColumn="1" w:lastColumn="0" w:noHBand="0" w:noVBand="1"/>
            </w:tblPr>
            <w:tblGrid>
              <w:gridCol w:w="1095"/>
              <w:gridCol w:w="2484"/>
              <w:gridCol w:w="862"/>
              <w:gridCol w:w="2576"/>
              <w:gridCol w:w="3419"/>
            </w:tblGrid>
            <w:tr w:rsidR="001F4DB9" w:rsidTr="007046F4">
              <w:tc>
                <w:tcPr>
                  <w:tcW w:w="525" w:type="pct"/>
                  <w:vMerge w:val="restart"/>
                </w:tcPr>
                <w:p w:rsidR="001F4DB9" w:rsidRPr="00C767C8"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90" w:type="pct"/>
                  <w:vMerge w:val="restart"/>
                </w:tcPr>
                <w:p w:rsidR="001F4DB9" w:rsidRPr="003764D7" w:rsidRDefault="001F4DB9"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1F4DB9" w:rsidRDefault="001F4DB9" w:rsidP="00931C2D">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1F4DB9" w:rsidTr="007046F4">
              <w:tc>
                <w:tcPr>
                  <w:tcW w:w="525" w:type="pct"/>
                  <w:vMerge/>
                </w:tcPr>
                <w:p w:rsidR="001F4DB9" w:rsidRDefault="001F4DB9" w:rsidP="00931C2D">
                  <w:pPr>
                    <w:rPr>
                      <w:rFonts w:ascii="Times New Roman" w:hAnsi="Times New Roman" w:cs="Times New Roman"/>
                      <w:sz w:val="28"/>
                      <w:szCs w:val="28"/>
                    </w:rPr>
                  </w:pPr>
                </w:p>
              </w:tc>
              <w:tc>
                <w:tcPr>
                  <w:tcW w:w="1190" w:type="pct"/>
                  <w:vMerge/>
                </w:tcPr>
                <w:p w:rsidR="001F4DB9" w:rsidRDefault="001F4DB9" w:rsidP="00931C2D">
                  <w:pPr>
                    <w:rPr>
                      <w:rFonts w:ascii="Times New Roman" w:hAnsi="Times New Roman" w:cs="Times New Roman"/>
                      <w:sz w:val="28"/>
                      <w:szCs w:val="28"/>
                    </w:rPr>
                  </w:pPr>
                </w:p>
              </w:tc>
              <w:tc>
                <w:tcPr>
                  <w:tcW w:w="413" w:type="pct"/>
                </w:tcPr>
                <w:p w:rsidR="001F4DB9" w:rsidRPr="00714902" w:rsidRDefault="001F4DB9" w:rsidP="00931C2D">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1F4DB9" w:rsidRPr="00714902" w:rsidRDefault="001F4DB9" w:rsidP="00931C2D">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638" w:type="pct"/>
                </w:tcPr>
                <w:p w:rsidR="001F4DB9" w:rsidRDefault="001F4DB9"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bl>
          <w:p w:rsidR="001F4DB9" w:rsidRDefault="001F4DB9" w:rsidP="00B94357">
            <w:pPr>
              <w:rPr>
                <w:rFonts w:ascii="Times New Roman" w:hAnsi="Times New Roman" w:cs="Times New Roman"/>
                <w:sz w:val="28"/>
                <w:szCs w:val="28"/>
                <w:lang w:val="en-US"/>
              </w:rPr>
            </w:pPr>
          </w:p>
        </w:tc>
      </w:tr>
    </w:tbl>
    <w:p w:rsidR="00C00CF2" w:rsidRPr="00C00CF2" w:rsidRDefault="00C00CF2" w:rsidP="00872FD1">
      <w:pPr>
        <w:spacing w:after="0"/>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47"/>
        <w:gridCol w:w="6173"/>
        <w:gridCol w:w="3436"/>
      </w:tblGrid>
      <w:tr w:rsidR="00C00CF2"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C00CF2" w:rsidRDefault="00C00CF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F4073B"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C00CF2" w:rsidRPr="00714902" w:rsidRDefault="00C00CF2" w:rsidP="007B40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C00CF2" w:rsidRPr="00F4073B" w:rsidRDefault="00C00CF2" w:rsidP="00E43D67">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00CF2" w:rsidRPr="00A039A7" w:rsidTr="00B94357">
        <w:tc>
          <w:tcPr>
            <w:tcW w:w="405" w:type="pct"/>
          </w:tcPr>
          <w:p w:rsidR="00C00CF2" w:rsidRPr="00135D57" w:rsidRDefault="00C00CF2" w:rsidP="007B4074">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C00CF2" w:rsidRDefault="00C00CF2" w:rsidP="007B40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0CF2" w:rsidRPr="0089208D" w:rsidRDefault="00C00CF2"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00CF2" w:rsidRPr="00A039A7" w:rsidRDefault="00C00CF2"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5545B8" w:rsidRPr="005545B8" w:rsidRDefault="005545B8" w:rsidP="007B4074">
      <w:pPr>
        <w:spacing w:after="0"/>
        <w:jc w:val="center"/>
        <w:rPr>
          <w:rFonts w:ascii="Times New Roman" w:hAnsi="Times New Roman" w:cs="Times New Roman"/>
          <w:b/>
          <w:sz w:val="2"/>
          <w:szCs w:val="2"/>
        </w:rPr>
      </w:pPr>
    </w:p>
    <w:tbl>
      <w:tblPr>
        <w:tblStyle w:val="a3"/>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субъекты отношений в сфере градостроительства (федеральные органы исполнительной власти)</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Исключение объектов капитального строительства из-под применения требований нормативных правовых актов и документов в области стандартизации, не включенных в реестр документов в области </w:t>
                  </w:r>
                  <w:r>
                    <w:rPr>
                      <w:rFonts w:ascii="Times New Roman" w:hAnsi="Times New Roman" w:cs="Times New Roman"/>
                      <w:sz w:val="28"/>
                      <w:szCs w:val="28"/>
                      <w:lang w:val="en-US"/>
                    </w:rPr>
                    <w:lastRenderedPageBreak/>
                    <w:t>инженерных изысканий, проектирования, строительства, реконструкции, эксплуатации и сноса, при осуществлении экспертизы проектной документации.</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r>
              <w:rPr>
                <w:rStyle w:val="ab"/>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изменения содержания существующих обязанностей и ограничений</w:t>
            </w:r>
            <w:r>
              <w:rPr>
                <w:rStyle w:val="ab"/>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2A016C" w:rsidRPr="002A016C" w:rsidRDefault="002A016C" w:rsidP="007B4074">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Расходы и доходы субъектов предпринимательской и иной экономической деятельности не предусматриваются.</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2453" w:type="pct"/>
                </w:tcPr>
                <w:p w:rsidR="00C2554E" w:rsidRDefault="00C2554E" w:rsidP="00E43D67">
                  <w:pPr>
                    <w:jc w:val="both"/>
                    <w:rPr>
                      <w:rFonts w:ascii="Times New Roman" w:hAnsi="Times New Roman" w:cs="Times New Roman"/>
                      <w:sz w:val="28"/>
                      <w:szCs w:val="28"/>
                      <w:lang w:val="en-US"/>
                    </w:rPr>
                  </w:pP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a3"/>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Существующие</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Высокая</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Нет</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a3"/>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DF07CE" w:rsidRPr="00DF07CE" w:rsidRDefault="00DF07CE" w:rsidP="007B4074">
      <w:pPr>
        <w:spacing w:after="0"/>
        <w:jc w:val="center"/>
        <w:rPr>
          <w:rFonts w:ascii="Times New Roman" w:hAnsi="Times New Roman" w:cs="Times New Roman"/>
          <w:b/>
          <w:sz w:val="2"/>
          <w:szCs w:val="2"/>
        </w:rPr>
      </w:pPr>
    </w:p>
    <w:tbl>
      <w:tblPr>
        <w:tblStyle w:val="a3"/>
        <w:tblW w:w="5000" w:type="pct"/>
        <w:tblCellMar>
          <w:left w:w="0" w:type="dxa"/>
          <w:right w:w="0" w:type="dxa"/>
        </w:tblCellMar>
        <w:tblLook w:val="04A0" w:firstRow="1" w:lastRow="0" w:firstColumn="1" w:lastColumn="0" w:noHBand="0" w:noVBand="1"/>
      </w:tblPr>
      <w:tblGrid>
        <w:gridCol w:w="2483"/>
        <w:gridCol w:w="7973"/>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Исключение избыточных требований в строительстве, обеспечение непротиворечивости и согласованности применяемых в строительстве документов различных федеральных органов исполнительной власти</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1"/>
              <w:gridCol w:w="2890"/>
              <w:gridCol w:w="2652"/>
            </w:tblGrid>
            <w:tr w:rsidR="00160332" w:rsidTr="00E57FEF">
              <w:tc>
                <w:tcPr>
                  <w:tcW w:w="1516"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Нет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по истечении десяти дней после дня его официального опубликования</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a3"/>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lastRenderedPageBreak/>
              <w:t>Уведомление не размещалось.</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ab"/>
          <w:rFonts w:ascii="Times New Roman" w:hAnsi="Times New Roman" w:cs="Times New Roman"/>
          <w:b/>
          <w:sz w:val="28"/>
          <w:szCs w:val="28"/>
        </w:rPr>
        <w:footnoteReference w:id="8"/>
      </w:r>
    </w:p>
    <w:tbl>
      <w:tblPr>
        <w:tblStyle w:val="a3"/>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МЧС России, Роспотребнадзор, Ростехнадзор, ФАС России, Минэкономразвития России, Минцифры России, Минобороны России</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Калинкин В.Н.</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11.11.2021</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206" w:rsidRDefault="00FF1206" w:rsidP="00EA7CC1">
      <w:pPr>
        <w:spacing w:after="0" w:line="240" w:lineRule="auto"/>
      </w:pPr>
      <w:r>
        <w:separator/>
      </w:r>
    </w:p>
  </w:endnote>
  <w:endnote w:type="continuationSeparator" w:id="0">
    <w:p w:rsidR="00FF1206" w:rsidRDefault="00FF1206"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206" w:rsidRDefault="00FF1206" w:rsidP="00EA7CC1">
      <w:pPr>
        <w:spacing w:after="0" w:line="240" w:lineRule="auto"/>
      </w:pPr>
      <w:r>
        <w:separator/>
      </w:r>
    </w:p>
  </w:footnote>
  <w:footnote w:type="continuationSeparator" w:id="0">
    <w:p w:rsidR="00FF1206" w:rsidRDefault="00FF1206" w:rsidP="00EA7CC1">
      <w:pPr>
        <w:spacing w:after="0" w:line="240" w:lineRule="auto"/>
      </w:pPr>
      <w:r>
        <w:continuationSeparator/>
      </w:r>
    </w:p>
  </w:footnote>
  <w:footnote w:id="1">
    <w:p w:rsidR="00CD490F" w:rsidRPr="00903A82" w:rsidRDefault="00CD490F" w:rsidP="00E20562">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CD490F" w:rsidRPr="00F837C7" w:rsidRDefault="00CD490F" w:rsidP="00B94357">
      <w:pPr>
        <w:pStyle w:val="a9"/>
      </w:pPr>
      <w:r>
        <w:rPr>
          <w:rStyle w:val="ab"/>
        </w:rPr>
        <w:footnoteRef/>
      </w:r>
      <w:r>
        <w:t xml:space="preserve"> </w:t>
      </w:r>
      <w:r w:rsidRPr="00F837C7">
        <w:t>Указываются данные из раздела 8 сводного отчета.</w:t>
      </w:r>
    </w:p>
  </w:footnote>
  <w:footnote w:id="3">
    <w:p w:rsidR="00CD490F" w:rsidRPr="00F776B0" w:rsidRDefault="00CD490F" w:rsidP="00B94357">
      <w:pPr>
        <w:pStyle w:val="a9"/>
      </w:pPr>
      <w:r>
        <w:rPr>
          <w:rStyle w:val="ab"/>
        </w:rPr>
        <w:footnoteRef/>
      </w:r>
      <w:r>
        <w:t xml:space="preserve"> </w:t>
      </w:r>
      <w:r w:rsidRPr="00F776B0">
        <w:t>Указываются данные из раздела 8 сводного отчета.</w:t>
      </w:r>
    </w:p>
  </w:footnote>
  <w:footnote w:id="4">
    <w:p w:rsidR="00CD490F" w:rsidRPr="00F95A61" w:rsidRDefault="00CD490F" w:rsidP="005545B8">
      <w:pPr>
        <w:pStyle w:val="a9"/>
      </w:pPr>
      <w:r>
        <w:rPr>
          <w:rStyle w:val="ab"/>
        </w:rPr>
        <w:footnoteRef/>
      </w:r>
      <w:r>
        <w:t xml:space="preserve"> </w:t>
      </w:r>
      <w:r w:rsidRPr="00F95A61">
        <w:t>Указываются данные из раздела 7 сводного отчета.</w:t>
      </w:r>
    </w:p>
  </w:footnote>
  <w:footnote w:id="5">
    <w:p w:rsidR="00CD490F" w:rsidRPr="006007BA" w:rsidRDefault="00CD490F" w:rsidP="002A016C">
      <w:pPr>
        <w:pStyle w:val="a9"/>
      </w:pPr>
      <w:r>
        <w:rPr>
          <w:rStyle w:val="ab"/>
        </w:rPr>
        <w:footnoteRef/>
      </w:r>
      <w:r>
        <w:t xml:space="preserve"> </w:t>
      </w:r>
      <w:r w:rsidRPr="006007BA">
        <w:t>Указываются данные из раздела 7 сводного отчета.</w:t>
      </w:r>
    </w:p>
  </w:footnote>
  <w:footnote w:id="6">
    <w:p w:rsidR="00CD490F" w:rsidRPr="001A71E6" w:rsidRDefault="00CD490F" w:rsidP="002A016C">
      <w:pPr>
        <w:pStyle w:val="a9"/>
      </w:pPr>
      <w:r>
        <w:rPr>
          <w:rStyle w:val="ab"/>
        </w:rPr>
        <w:footnoteRef/>
      </w:r>
      <w:r>
        <w:t xml:space="preserve"> </w:t>
      </w:r>
      <w:r w:rsidRPr="001A71E6">
        <w:t>Указываются данные из раздела 10 сводного отчета.</w:t>
      </w:r>
    </w:p>
  </w:footnote>
  <w:footnote w:id="7">
    <w:p w:rsidR="00CD490F" w:rsidRPr="000F64B5" w:rsidRDefault="00CD490F" w:rsidP="005704E5">
      <w:pPr>
        <w:pStyle w:val="a9"/>
      </w:pPr>
      <w:r>
        <w:rPr>
          <w:rStyle w:val="ab"/>
        </w:rPr>
        <w:footnoteRef/>
      </w:r>
      <w:r>
        <w:t xml:space="preserve"> </w:t>
      </w:r>
      <w:r w:rsidRPr="000F64B5">
        <w:t>Указываются данные из раздела 5 сводного отчета.</w:t>
      </w:r>
    </w:p>
  </w:footnote>
  <w:footnote w:id="8">
    <w:p w:rsidR="00CD490F" w:rsidRPr="00970A33" w:rsidRDefault="00CD490F">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930454"/>
      <w:docPartObj>
        <w:docPartGallery w:val="Page Numbers (Top of Page)"/>
        <w:docPartUnique/>
      </w:docPartObj>
    </w:sdtPr>
    <w:sdtEndPr/>
    <w:sdtContent>
      <w:p w:rsidR="00CD490F" w:rsidRDefault="00CD490F">
        <w:pPr>
          <w:pStyle w:val="a5"/>
          <w:jc w:val="center"/>
        </w:pPr>
        <w:r>
          <w:fldChar w:fldCharType="begin"/>
        </w:r>
        <w:r>
          <w:instrText>PAGE   \* MERGEFORMAT</w:instrText>
        </w:r>
        <w:r>
          <w:fldChar w:fldCharType="separate"/>
        </w:r>
        <w:r w:rsidR="004C4D81">
          <w:rPr>
            <w:noProof/>
          </w:rPr>
          <w:t>1</w:t>
        </w:r>
        <w:r>
          <w:fldChar w:fldCharType="end"/>
        </w:r>
      </w:p>
    </w:sdtContent>
  </w:sdt>
  <w:p w:rsidR="00CD490F" w:rsidRDefault="00CD4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4D81"/>
    <w:rsid w:val="004C6292"/>
    <w:rsid w:val="004D369A"/>
    <w:rsid w:val="00500365"/>
    <w:rsid w:val="00503DBC"/>
    <w:rsid w:val="00512D10"/>
    <w:rsid w:val="0055456B"/>
    <w:rsid w:val="005545B8"/>
    <w:rsid w:val="00556780"/>
    <w:rsid w:val="005704E5"/>
    <w:rsid w:val="005704E6"/>
    <w:rsid w:val="0057574B"/>
    <w:rsid w:val="00583BE6"/>
    <w:rsid w:val="0059058F"/>
    <w:rsid w:val="00595ADE"/>
    <w:rsid w:val="005B6FF3"/>
    <w:rsid w:val="005B7270"/>
    <w:rsid w:val="005C4985"/>
    <w:rsid w:val="005C7E9A"/>
    <w:rsid w:val="006007BA"/>
    <w:rsid w:val="0060147B"/>
    <w:rsid w:val="006063F9"/>
    <w:rsid w:val="00607FB1"/>
    <w:rsid w:val="00610E87"/>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68E0"/>
    <w:rsid w:val="009D179C"/>
    <w:rsid w:val="009D19DD"/>
    <w:rsid w:val="009D556B"/>
    <w:rsid w:val="009F6320"/>
    <w:rsid w:val="00A039A7"/>
    <w:rsid w:val="00A03ACD"/>
    <w:rsid w:val="00A06364"/>
    <w:rsid w:val="00A07E45"/>
    <w:rsid w:val="00A15AB1"/>
    <w:rsid w:val="00A20660"/>
    <w:rsid w:val="00A335AF"/>
    <w:rsid w:val="00A37A7C"/>
    <w:rsid w:val="00A37BEF"/>
    <w:rsid w:val="00A419BD"/>
    <w:rsid w:val="00A56405"/>
    <w:rsid w:val="00A722BE"/>
    <w:rsid w:val="00A822C2"/>
    <w:rsid w:val="00A832EA"/>
    <w:rsid w:val="00A8482F"/>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255B"/>
    <w:rsid w:val="00BD36FB"/>
    <w:rsid w:val="00BD5C91"/>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1206"/>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04CD9"/>
    <w:rsid w:val="00052D8B"/>
    <w:rsid w:val="00063401"/>
    <w:rsid w:val="001A3A28"/>
    <w:rsid w:val="001C799E"/>
    <w:rsid w:val="001F7690"/>
    <w:rsid w:val="002E64E9"/>
    <w:rsid w:val="00327288"/>
    <w:rsid w:val="003A7EF9"/>
    <w:rsid w:val="004D0B9A"/>
    <w:rsid w:val="0068680A"/>
    <w:rsid w:val="0070336A"/>
    <w:rsid w:val="0076738C"/>
    <w:rsid w:val="007E35CF"/>
    <w:rsid w:val="00841AB7"/>
    <w:rsid w:val="008437E0"/>
    <w:rsid w:val="009200DA"/>
    <w:rsid w:val="00952484"/>
    <w:rsid w:val="0096630B"/>
    <w:rsid w:val="00975047"/>
    <w:rsid w:val="00981FB8"/>
    <w:rsid w:val="00A837C4"/>
    <w:rsid w:val="00C328DC"/>
    <w:rsid w:val="00DB3FC2"/>
    <w:rsid w:val="00DC477A"/>
    <w:rsid w:val="00E26D0F"/>
    <w:rsid w:val="00E5775A"/>
    <w:rsid w:val="00F2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3FC2"/>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18CA-D99E-496B-B3A4-15744B7F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3148</Words>
  <Characters>17948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Елена М. Голунова</cp:lastModifiedBy>
  <cp:revision>2</cp:revision>
  <dcterms:created xsi:type="dcterms:W3CDTF">2021-11-22T09:12:00Z</dcterms:created>
  <dcterms:modified xsi:type="dcterms:W3CDTF">2021-11-22T09:12:00Z</dcterms:modified>
</cp:coreProperties>
</file>